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29A1" w14:textId="08F3170B" w:rsidR="00F618ED" w:rsidRPr="00446F9D" w:rsidRDefault="00F618ED" w:rsidP="00F618ED">
      <w:pPr>
        <w:pStyle w:val="Header"/>
        <w:tabs>
          <w:tab w:val="clear" w:pos="4536"/>
        </w:tabs>
        <w:rPr>
          <w:i/>
        </w:rPr>
      </w:pPr>
      <w:r w:rsidRPr="00446F9D">
        <w:t>TSG-RAN WG1 #</w:t>
      </w:r>
      <w:r>
        <w:t>87</w:t>
      </w:r>
      <w:r w:rsidRPr="00446F9D">
        <w:tab/>
      </w:r>
      <w:r w:rsidRPr="00363390">
        <w:t>R1-16</w:t>
      </w:r>
      <w:r w:rsidR="00A47B48">
        <w:t>12919</w:t>
      </w:r>
    </w:p>
    <w:p w14:paraId="296BD30A" w14:textId="77777777" w:rsidR="00F618ED" w:rsidRPr="000833FA" w:rsidRDefault="00F618ED" w:rsidP="00F618ED">
      <w:pPr>
        <w:pStyle w:val="Header"/>
        <w:rPr>
          <w:color w:val="000000"/>
        </w:rPr>
      </w:pPr>
      <w:r>
        <w:t>Reno, NV, USA, November 14 – 18, 2016</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5B5E26DA" w:rsidR="00F618ED" w:rsidRPr="00E220C0" w:rsidRDefault="00F618ED" w:rsidP="00F618ED">
      <w:pPr>
        <w:pStyle w:val="Header"/>
        <w:tabs>
          <w:tab w:val="clear" w:pos="4536"/>
          <w:tab w:val="left" w:pos="1800"/>
        </w:tabs>
      </w:pPr>
      <w:r w:rsidRPr="0003368D">
        <w:t>Title:</w:t>
      </w:r>
      <w:bookmarkStart w:id="0" w:name="Title"/>
      <w:bookmarkEnd w:id="0"/>
      <w:r w:rsidRPr="0003368D">
        <w:tab/>
      </w:r>
      <w:r w:rsidR="00A057EA" w:rsidRPr="00A057EA">
        <w:t xml:space="preserve">On </w:t>
      </w:r>
      <w:r w:rsidR="00115E69">
        <w:t>long</w:t>
      </w:r>
      <w:r w:rsidR="006D0BDF">
        <w:t xml:space="preserve"> UCI</w:t>
      </w:r>
      <w:r w:rsidR="00F40C7B">
        <w:t xml:space="preserve"> without simultaneous data transmission</w:t>
      </w:r>
    </w:p>
    <w:p w14:paraId="0DB675C4" w14:textId="3DF99030" w:rsidR="00F618ED" w:rsidRPr="00E220C0" w:rsidRDefault="00F618ED" w:rsidP="00F618ED">
      <w:pPr>
        <w:pStyle w:val="Header"/>
        <w:tabs>
          <w:tab w:val="left" w:pos="1800"/>
        </w:tabs>
      </w:pPr>
      <w:r w:rsidRPr="00E220C0">
        <w:t>Agenda Item:</w:t>
      </w:r>
      <w:bookmarkStart w:id="1" w:name="Source"/>
      <w:bookmarkEnd w:id="1"/>
      <w:r w:rsidRPr="00E220C0">
        <w:tab/>
      </w:r>
      <w:r w:rsidR="0049799A">
        <w:t>7.1.</w:t>
      </w:r>
      <w:r w:rsidR="001B243C">
        <w:t>4.</w:t>
      </w:r>
      <w:r w:rsidR="00401FC3">
        <w:t>2</w:t>
      </w:r>
    </w:p>
    <w:p w14:paraId="2BD0891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50CA01C4" w:rsidR="00F618ED" w:rsidRDefault="00F618ED" w:rsidP="00F618ED">
      <w:pPr>
        <w:pStyle w:val="Heading1"/>
        <w:spacing w:before="180"/>
        <w:ind w:left="562" w:hanging="562"/>
      </w:pPr>
      <w:r>
        <w:t>Introduction</w:t>
      </w:r>
    </w:p>
    <w:p w14:paraId="6AC1F293" w14:textId="58BFAC6E" w:rsidR="00A057EA" w:rsidRDefault="0022072F" w:rsidP="00401FC3">
      <w:pPr>
        <w:pStyle w:val="BodyText"/>
      </w:pPr>
      <w:r>
        <w:t xml:space="preserve">At RAN1#86bis, </w:t>
      </w:r>
      <w:r w:rsidR="00401FC3">
        <w:t>the following was agreed:</w:t>
      </w:r>
    </w:p>
    <w:p w14:paraId="0B676290" w14:textId="77777777" w:rsidR="00401FC3" w:rsidRPr="005936EF" w:rsidRDefault="00401FC3" w:rsidP="00401FC3">
      <w:pPr>
        <w:numPr>
          <w:ilvl w:val="0"/>
          <w:numId w:val="27"/>
        </w:numPr>
        <w:rPr>
          <w:rFonts w:eastAsia="MS Mincho"/>
          <w:lang w:eastAsia="ja-JP"/>
        </w:rPr>
      </w:pPr>
      <w:r w:rsidRPr="005936EF">
        <w:rPr>
          <w:rFonts w:eastAsia="MS Mincho"/>
          <w:lang w:eastAsia="ja-JP"/>
        </w:rPr>
        <w:t>At least two ways of transmissions are supported for NR UL control channel</w:t>
      </w:r>
    </w:p>
    <w:p w14:paraId="183CF832" w14:textId="77777777" w:rsidR="00401FC3" w:rsidRPr="005936EF" w:rsidRDefault="00401FC3" w:rsidP="00401FC3">
      <w:pPr>
        <w:numPr>
          <w:ilvl w:val="1"/>
          <w:numId w:val="27"/>
        </w:numPr>
        <w:rPr>
          <w:rFonts w:eastAsia="MS Mincho"/>
          <w:lang w:eastAsia="ja-JP"/>
        </w:rPr>
      </w:pPr>
      <w:r w:rsidRPr="005936EF">
        <w:rPr>
          <w:rFonts w:eastAsia="MS Mincho"/>
          <w:lang w:eastAsia="ja-JP"/>
        </w:rPr>
        <w:t>UL control channel can be transmitted in short duration</w:t>
      </w:r>
    </w:p>
    <w:p w14:paraId="760A4D62" w14:textId="77777777" w:rsidR="00401FC3" w:rsidRDefault="00401FC3" w:rsidP="00401FC3">
      <w:pPr>
        <w:numPr>
          <w:ilvl w:val="2"/>
          <w:numId w:val="27"/>
        </w:numPr>
        <w:rPr>
          <w:rFonts w:eastAsia="MS Mincho"/>
          <w:lang w:eastAsia="ja-JP"/>
        </w:rPr>
      </w:pPr>
      <w:r w:rsidRPr="005936EF">
        <w:rPr>
          <w:rFonts w:eastAsia="MS Mincho"/>
          <w:lang w:eastAsia="ja-JP"/>
        </w:rPr>
        <w:t xml:space="preserve">around the last </w:t>
      </w:r>
      <w:r>
        <w:rPr>
          <w:rFonts w:eastAsia="MS Mincho" w:hint="eastAsia"/>
          <w:lang w:eastAsia="ja-JP"/>
        </w:rPr>
        <w:t xml:space="preserve">transmitted </w:t>
      </w:r>
      <w:r w:rsidRPr="005936EF">
        <w:rPr>
          <w:rFonts w:eastAsia="MS Mincho"/>
          <w:lang w:eastAsia="ja-JP"/>
        </w:rPr>
        <w:t>UL symbol(s) of a slot</w:t>
      </w:r>
    </w:p>
    <w:p w14:paraId="0447A3CA" w14:textId="77777777" w:rsidR="00401FC3" w:rsidRPr="005936EF" w:rsidRDefault="00401FC3" w:rsidP="00401FC3">
      <w:pPr>
        <w:numPr>
          <w:ilvl w:val="3"/>
          <w:numId w:val="27"/>
        </w:numPr>
        <w:rPr>
          <w:rFonts w:eastAsia="MS Mincho"/>
          <w:lang w:eastAsia="ja-JP"/>
        </w:rPr>
      </w:pPr>
      <w:r>
        <w:rPr>
          <w:rFonts w:eastAsia="MS Mincho" w:hint="eastAsia"/>
          <w:lang w:eastAsia="ja-JP"/>
        </w:rPr>
        <w:t>FFS: How to define and treat the potential gap at the end of the slot</w:t>
      </w:r>
    </w:p>
    <w:p w14:paraId="4B63212C" w14:textId="77777777" w:rsidR="00401FC3" w:rsidRPr="005936EF" w:rsidRDefault="00401FC3" w:rsidP="00401FC3">
      <w:pPr>
        <w:numPr>
          <w:ilvl w:val="2"/>
          <w:numId w:val="27"/>
        </w:numPr>
        <w:rPr>
          <w:rFonts w:eastAsia="MS Mincho"/>
          <w:lang w:eastAsia="ja-JP"/>
        </w:rPr>
      </w:pPr>
      <w:r w:rsidRPr="005936EF">
        <w:rPr>
          <w:rFonts w:eastAsia="MS Mincho"/>
          <w:lang w:eastAsia="ja-JP"/>
        </w:rPr>
        <w:t>FFS: in the other positions, e.g., the first UL symbol(s) of a slot</w:t>
      </w:r>
    </w:p>
    <w:p w14:paraId="34FC75F1" w14:textId="77777777" w:rsidR="00401FC3" w:rsidRPr="005936EF" w:rsidRDefault="00401FC3" w:rsidP="00401FC3">
      <w:pPr>
        <w:numPr>
          <w:ilvl w:val="2"/>
          <w:numId w:val="27"/>
        </w:numPr>
        <w:rPr>
          <w:rFonts w:eastAsia="MS Mincho"/>
          <w:lang w:eastAsia="ja-JP"/>
        </w:rPr>
      </w:pPr>
      <w:proofErr w:type="spellStart"/>
      <w:r w:rsidRPr="005936EF">
        <w:rPr>
          <w:rFonts w:eastAsia="MS Mincho"/>
          <w:lang w:eastAsia="ja-JP"/>
        </w:rPr>
        <w:t>TDMed</w:t>
      </w:r>
      <w:proofErr w:type="spellEnd"/>
      <w:r w:rsidRPr="005936EF">
        <w:rPr>
          <w:rFonts w:eastAsia="MS Mincho"/>
          <w:lang w:eastAsia="ja-JP"/>
        </w:rPr>
        <w:t xml:space="preserve"> and/or </w:t>
      </w:r>
      <w:proofErr w:type="spellStart"/>
      <w:r w:rsidRPr="005936EF">
        <w:rPr>
          <w:rFonts w:eastAsia="MS Mincho"/>
          <w:lang w:eastAsia="ja-JP"/>
        </w:rPr>
        <w:t>FDMed</w:t>
      </w:r>
      <w:proofErr w:type="spellEnd"/>
      <w:r w:rsidRPr="005936EF">
        <w:rPr>
          <w:rFonts w:eastAsia="MS Mincho"/>
          <w:lang w:eastAsia="ja-JP"/>
        </w:rPr>
        <w:t xml:space="preserve"> with UL data channel within a slot</w:t>
      </w:r>
    </w:p>
    <w:p w14:paraId="54457A0A" w14:textId="77777777" w:rsidR="00401FC3" w:rsidRPr="005936EF" w:rsidRDefault="00401FC3" w:rsidP="00401FC3">
      <w:pPr>
        <w:numPr>
          <w:ilvl w:val="1"/>
          <w:numId w:val="27"/>
        </w:numPr>
        <w:rPr>
          <w:rFonts w:eastAsia="MS Mincho"/>
          <w:lang w:eastAsia="ja-JP"/>
        </w:rPr>
      </w:pPr>
      <w:r w:rsidRPr="005936EF">
        <w:rPr>
          <w:rFonts w:eastAsia="MS Mincho"/>
          <w:lang w:eastAsia="ja-JP"/>
        </w:rPr>
        <w:t>UL control channel can be transmitted in long duration</w:t>
      </w:r>
    </w:p>
    <w:p w14:paraId="0867A329" w14:textId="77777777" w:rsidR="00401FC3" w:rsidRPr="005936EF" w:rsidRDefault="00401FC3" w:rsidP="00401FC3">
      <w:pPr>
        <w:numPr>
          <w:ilvl w:val="2"/>
          <w:numId w:val="27"/>
        </w:numPr>
        <w:rPr>
          <w:rFonts w:eastAsia="MS Mincho"/>
          <w:lang w:eastAsia="ja-JP"/>
        </w:rPr>
      </w:pPr>
      <w:r w:rsidRPr="005936EF">
        <w:rPr>
          <w:rFonts w:eastAsia="MS Mincho"/>
          <w:lang w:eastAsia="ja-JP"/>
        </w:rPr>
        <w:t>over multiple UL symbols to improve coverage</w:t>
      </w:r>
    </w:p>
    <w:p w14:paraId="0AEB00FD" w14:textId="77777777" w:rsidR="00401FC3" w:rsidRPr="005936EF" w:rsidRDefault="00401FC3" w:rsidP="00401FC3">
      <w:pPr>
        <w:numPr>
          <w:ilvl w:val="2"/>
          <w:numId w:val="27"/>
        </w:numPr>
        <w:rPr>
          <w:rFonts w:eastAsia="MS Mincho"/>
          <w:lang w:eastAsia="ja-JP"/>
        </w:rPr>
      </w:pPr>
      <w:proofErr w:type="spellStart"/>
      <w:r w:rsidRPr="005936EF">
        <w:rPr>
          <w:rFonts w:eastAsia="MS Mincho"/>
          <w:lang w:eastAsia="ja-JP"/>
        </w:rPr>
        <w:t>FDMed</w:t>
      </w:r>
      <w:proofErr w:type="spellEnd"/>
      <w:r w:rsidRPr="005936EF">
        <w:rPr>
          <w:rFonts w:eastAsia="MS Mincho"/>
          <w:lang w:eastAsia="ja-JP"/>
        </w:rPr>
        <w:t xml:space="preserve"> with UL data channel within a slot</w:t>
      </w:r>
    </w:p>
    <w:p w14:paraId="74919A03" w14:textId="77777777" w:rsidR="00401FC3" w:rsidRPr="005936EF" w:rsidRDefault="00401FC3" w:rsidP="00401FC3">
      <w:pPr>
        <w:numPr>
          <w:ilvl w:val="1"/>
          <w:numId w:val="27"/>
        </w:numPr>
        <w:rPr>
          <w:rFonts w:eastAsia="MS Mincho"/>
          <w:lang w:eastAsia="ja-JP"/>
        </w:rPr>
      </w:pPr>
      <w:r w:rsidRPr="005936EF">
        <w:rPr>
          <w:rFonts w:eastAsia="MS Mincho"/>
          <w:lang w:eastAsia="ja-JP"/>
        </w:rPr>
        <w:t>FFS how to multiplex with SRS</w:t>
      </w:r>
    </w:p>
    <w:p w14:paraId="10CE5676" w14:textId="77777777" w:rsidR="00401FC3" w:rsidRPr="005936EF" w:rsidRDefault="00401FC3" w:rsidP="00401FC3">
      <w:pPr>
        <w:numPr>
          <w:ilvl w:val="1"/>
          <w:numId w:val="27"/>
        </w:numPr>
        <w:rPr>
          <w:rFonts w:eastAsia="MS Mincho"/>
          <w:lang w:eastAsia="ja-JP"/>
        </w:rPr>
      </w:pPr>
      <w:r w:rsidRPr="005936EF">
        <w:rPr>
          <w:rFonts w:eastAsia="MS Mincho"/>
          <w:lang w:eastAsia="ja-JP"/>
        </w:rPr>
        <w:t>The frequency resource and hopping, if hopping is used, may not spread over the carrier bandwidth</w:t>
      </w:r>
    </w:p>
    <w:p w14:paraId="0B3BACF8" w14:textId="77777777" w:rsidR="00401FC3" w:rsidRDefault="00401FC3" w:rsidP="00401FC3">
      <w:pPr>
        <w:pStyle w:val="BodyText"/>
      </w:pPr>
    </w:p>
    <w:p w14:paraId="307F088B" w14:textId="276840F4" w:rsidR="00A057EA" w:rsidRPr="0022072F" w:rsidRDefault="00A057EA" w:rsidP="0022072F">
      <w:pPr>
        <w:pStyle w:val="BodyText"/>
      </w:pPr>
      <w:r>
        <w:t>In this contribution</w:t>
      </w:r>
      <w:r w:rsidR="00401FC3">
        <w:t xml:space="preserve"> </w:t>
      </w:r>
      <w:r w:rsidR="0068741C">
        <w:t>transmission of a</w:t>
      </w:r>
      <w:r w:rsidR="00115E69">
        <w:t xml:space="preserve"> long </w:t>
      </w:r>
      <w:r w:rsidR="00401FC3">
        <w:t xml:space="preserve">UCI </w:t>
      </w:r>
      <w:r w:rsidR="0068741C">
        <w:t>without simultaneous data transmission from the same UE is discussed</w:t>
      </w:r>
      <w:r w:rsidR="00401FC3">
        <w:t>.</w:t>
      </w:r>
    </w:p>
    <w:p w14:paraId="635F5223" w14:textId="76FEF6CC" w:rsidR="004B1C8B" w:rsidRDefault="00230310" w:rsidP="00230310">
      <w:pPr>
        <w:pStyle w:val="Heading1"/>
        <w:spacing w:before="180"/>
        <w:ind w:left="562" w:hanging="562"/>
      </w:pPr>
      <w:r>
        <w:t>Discussion</w:t>
      </w:r>
    </w:p>
    <w:p w14:paraId="2E4EEC58" w14:textId="16F3A73F" w:rsidR="006D6917" w:rsidRDefault="00845022" w:rsidP="006D6917">
      <w:pPr>
        <w:pStyle w:val="BodyText"/>
      </w:pPr>
      <w:r>
        <w:t xml:space="preserve">Transmission of a long UCI without </w:t>
      </w:r>
      <w:r w:rsidR="00D71065">
        <w:t xml:space="preserve">simultaneous data is done using preconfigured resource blocks. The resource blocks may be shared by multiple UEs, e.g. by using CDM similarly to the case in LTE.  </w:t>
      </w:r>
      <w:r w:rsidR="003A79BD">
        <w:t>However, note that these reso</w:t>
      </w:r>
      <w:r w:rsidR="00D71065">
        <w:t>u</w:t>
      </w:r>
      <w:r w:rsidR="003A79BD">
        <w:t>rc</w:t>
      </w:r>
      <w:r w:rsidR="00D71065">
        <w:t>es may not necessarily be located at the band edges as in LTE as the UEs may not be aware of, or capable of transmitting across, the ‘system bandwidth’.</w:t>
      </w:r>
    </w:p>
    <w:p w14:paraId="4682D83C" w14:textId="66623F6D" w:rsidR="00D71065" w:rsidRDefault="00D71065" w:rsidP="006D6917">
      <w:pPr>
        <w:pStyle w:val="BodyText"/>
      </w:pPr>
      <w:r>
        <w:t xml:space="preserve">To minimize the required </w:t>
      </w:r>
      <w:proofErr w:type="spellStart"/>
      <w:r>
        <w:t>backoff</w:t>
      </w:r>
      <w:proofErr w:type="spellEnd"/>
      <w:r>
        <w:t xml:space="preserve"> in the UE, the design should take PAR/CM into account, e.g. by appropriate choice of sequences. This is similar to the approach taken in LTE PUCCH design. Since the UCI payload range can be relatively large (although some of the largest UCI messages may not be carrier on preconfigured resources but rather using scheduled resources as ‘UCI on PUSCH’) it should be investigated if a single structure can be used in order to avoid the plethora of PUCCH formats present in the latest versions of LTE.</w:t>
      </w:r>
    </w:p>
    <w:p w14:paraId="622832F4" w14:textId="73721D8D" w:rsidR="00F15238" w:rsidRDefault="00F15238" w:rsidP="006D6917">
      <w:pPr>
        <w:pStyle w:val="BodyText"/>
      </w:pPr>
      <w:r>
        <w:t xml:space="preserve">To obtain </w:t>
      </w:r>
      <w:r w:rsidR="003A79BD">
        <w:t>diversity</w:t>
      </w:r>
      <w:r>
        <w:t xml:space="preserve">, a hopping structure across the slot can be used as shown to the left in </w:t>
      </w:r>
      <w:r w:rsidR="003A79BD">
        <w:fldChar w:fldCharType="begin"/>
      </w:r>
      <w:r w:rsidR="003A79BD">
        <w:instrText xml:space="preserve"> REF _Ref465937671 \h </w:instrText>
      </w:r>
      <w:r w:rsidR="003A79BD">
        <w:fldChar w:fldCharType="separate"/>
      </w:r>
      <w:r w:rsidR="003A79BD">
        <w:t xml:space="preserve">Figure </w:t>
      </w:r>
      <w:r w:rsidR="003A79BD">
        <w:rPr>
          <w:noProof/>
        </w:rPr>
        <w:t>1</w:t>
      </w:r>
      <w:r w:rsidR="003A79BD">
        <w:fldChar w:fldCharType="end"/>
      </w:r>
      <w:r>
        <w:t xml:space="preserve">. </w:t>
      </w:r>
      <w:r w:rsidR="00E31F68">
        <w:t>Simultaneous</w:t>
      </w:r>
      <w:r w:rsidR="003A79BD">
        <w:t xml:space="preserve"> transmission on two parts of the frequency </w:t>
      </w:r>
      <w:r w:rsidR="00E31F68">
        <w:t>resource</w:t>
      </w:r>
      <w:r w:rsidR="003A79BD">
        <w:t xml:space="preserve"> could in principle be used instead of hopping but has the drawback of somewhat higher PAR/CM and may also </w:t>
      </w:r>
      <w:r w:rsidR="00E31F68">
        <w:t>lead</w:t>
      </w:r>
      <w:r w:rsidR="003A79BD">
        <w:t xml:space="preserve"> to RAN4 problems in terms of intermodulation products if the two regions are far apart. Hence a hopping structure is preferred. </w:t>
      </w:r>
      <w:r>
        <w:t xml:space="preserve">However, operation in unlicensed spectrum may require a certain amount of bandwidth to be occupied. This can be achieved by repeating the ‘building blocks’ in frequency as shown to the right </w:t>
      </w:r>
      <w:r w:rsidR="003A79BD">
        <w:t>in</w:t>
      </w:r>
      <w:r>
        <w:t xml:space="preserve"> </w:t>
      </w:r>
      <w:r w:rsidR="003A79BD">
        <w:fldChar w:fldCharType="begin"/>
      </w:r>
      <w:r w:rsidR="003A79BD">
        <w:instrText xml:space="preserve"> REF _Ref465937671 \h </w:instrText>
      </w:r>
      <w:r w:rsidR="003A79BD">
        <w:fldChar w:fldCharType="separate"/>
      </w:r>
      <w:r w:rsidR="003A79BD">
        <w:t xml:space="preserve">Figure </w:t>
      </w:r>
      <w:r w:rsidR="003A79BD">
        <w:rPr>
          <w:noProof/>
        </w:rPr>
        <w:t>1</w:t>
      </w:r>
      <w:r w:rsidR="003A79BD">
        <w:fldChar w:fldCharType="end"/>
      </w:r>
      <w:r>
        <w:t>.</w:t>
      </w:r>
    </w:p>
    <w:p w14:paraId="123AD46A" w14:textId="130E5D47" w:rsidR="003A79BD" w:rsidRDefault="003A79BD" w:rsidP="003A79BD">
      <w:pPr>
        <w:pStyle w:val="BodyText"/>
        <w:keepNext/>
      </w:pPr>
      <w:bookmarkStart w:id="3" w:name="_GoBack"/>
      <w:bookmarkEnd w:id="3"/>
      <w:r>
        <w:rPr>
          <w:noProof/>
        </w:rPr>
        <w:drawing>
          <wp:inline distT="0" distB="0" distL="0" distR="0" wp14:anchorId="4256C545" wp14:editId="223CD6EF">
            <wp:extent cx="5735782" cy="1389413"/>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78801" cy="1399834"/>
                    </a:xfrm>
                    <a:prstGeom prst="rect">
                      <a:avLst/>
                    </a:prstGeom>
                    <a:noFill/>
                  </pic:spPr>
                </pic:pic>
              </a:graphicData>
            </a:graphic>
          </wp:inline>
        </w:drawing>
      </w:r>
    </w:p>
    <w:p w14:paraId="3AAC0573" w14:textId="7F5BB253" w:rsidR="003A79BD" w:rsidRDefault="003A79BD" w:rsidP="003A79BD">
      <w:pPr>
        <w:pStyle w:val="Caption"/>
        <w:jc w:val="both"/>
      </w:pPr>
      <w:bookmarkStart w:id="4" w:name="_Ref465937671"/>
      <w:r>
        <w:t xml:space="preserve">Figure </w:t>
      </w:r>
      <w:r w:rsidR="0099627A">
        <w:fldChar w:fldCharType="begin"/>
      </w:r>
      <w:r w:rsidR="0099627A">
        <w:instrText xml:space="preserve"> SEQ Figure \* ARABIC </w:instrText>
      </w:r>
      <w:r w:rsidR="0099627A">
        <w:fldChar w:fldCharType="separate"/>
      </w:r>
      <w:r>
        <w:rPr>
          <w:noProof/>
        </w:rPr>
        <w:t>1</w:t>
      </w:r>
      <w:r w:rsidR="0099627A">
        <w:rPr>
          <w:noProof/>
        </w:rPr>
        <w:fldChar w:fldCharType="end"/>
      </w:r>
      <w:bookmarkEnd w:id="4"/>
      <w:r>
        <w:t xml:space="preserve">: Preconfigured UCI region, licensed spectrum (left), </w:t>
      </w:r>
      <w:proofErr w:type="spellStart"/>
      <w:r>
        <w:t>unlicensd</w:t>
      </w:r>
      <w:proofErr w:type="spellEnd"/>
      <w:r>
        <w:t xml:space="preserve"> spectrum (right)</w:t>
      </w:r>
    </w:p>
    <w:p w14:paraId="0AB7B444" w14:textId="243A4B6D" w:rsidR="0081418C" w:rsidRDefault="0081418C" w:rsidP="0081418C">
      <w:pPr>
        <w:pStyle w:val="Heading1"/>
        <w:spacing w:before="180"/>
        <w:ind w:left="562" w:hanging="562"/>
      </w:pPr>
      <w:r>
        <w:lastRenderedPageBreak/>
        <w:t>Conclusion</w:t>
      </w:r>
    </w:p>
    <w:p w14:paraId="6B6C600C" w14:textId="0BBEC821" w:rsidR="003A79BD" w:rsidRDefault="00E31F68" w:rsidP="003A79BD">
      <w:pPr>
        <w:pStyle w:val="BodyText"/>
        <w:numPr>
          <w:ilvl w:val="0"/>
          <w:numId w:val="31"/>
        </w:numPr>
      </w:pPr>
      <w:r>
        <w:t>Resource</w:t>
      </w:r>
      <w:r w:rsidR="003A79BD">
        <w:t xml:space="preserve"> blocks are preconfigured for UCI transmission in absence of data</w:t>
      </w:r>
    </w:p>
    <w:p w14:paraId="4F8E0A46" w14:textId="2272014C" w:rsidR="003A79BD" w:rsidRDefault="003A79BD" w:rsidP="003A79BD">
      <w:pPr>
        <w:pStyle w:val="BodyText"/>
        <w:numPr>
          <w:ilvl w:val="1"/>
          <w:numId w:val="31"/>
        </w:numPr>
      </w:pPr>
      <w:r>
        <w:t>Multiple UEs may use the same set of RBs, e.g. through CDM or FDM within the RBs</w:t>
      </w:r>
    </w:p>
    <w:p w14:paraId="0AA888D8" w14:textId="69FE1CDE" w:rsidR="003A79BD" w:rsidRDefault="003A79BD" w:rsidP="003A79BD">
      <w:pPr>
        <w:pStyle w:val="BodyText"/>
        <w:numPr>
          <w:ilvl w:val="0"/>
          <w:numId w:val="31"/>
        </w:numPr>
      </w:pPr>
      <w:r>
        <w:t>Frequency hopping to get frequency diversity in licensed spectrum</w:t>
      </w:r>
    </w:p>
    <w:p w14:paraId="55D5A64D" w14:textId="4E6DE1FF" w:rsidR="003A79BD" w:rsidRDefault="003A79BD" w:rsidP="003A79BD">
      <w:pPr>
        <w:pStyle w:val="BodyText"/>
        <w:numPr>
          <w:ilvl w:val="1"/>
          <w:numId w:val="31"/>
        </w:numPr>
      </w:pPr>
      <w:r>
        <w:t xml:space="preserve">Basic structure repeated in frequency domain to fulfill spectrum occupancy requirements in case of unlicensed spectrum </w:t>
      </w:r>
    </w:p>
    <w:p w14:paraId="71D9638B" w14:textId="70D93FDA" w:rsidR="003A79BD" w:rsidRDefault="003A79BD" w:rsidP="003A79BD">
      <w:pPr>
        <w:pStyle w:val="BodyText"/>
        <w:numPr>
          <w:ilvl w:val="0"/>
          <w:numId w:val="31"/>
        </w:numPr>
      </w:pPr>
      <w:r>
        <w:t>A low PAR/CM design is used for UCI</w:t>
      </w:r>
    </w:p>
    <w:p w14:paraId="597383E8" w14:textId="4AA4CADE" w:rsidR="003A79BD" w:rsidRPr="003A79BD" w:rsidRDefault="003A79BD" w:rsidP="003A79BD">
      <w:pPr>
        <w:pStyle w:val="BodyText"/>
        <w:numPr>
          <w:ilvl w:val="0"/>
          <w:numId w:val="31"/>
        </w:numPr>
      </w:pPr>
      <w:r>
        <w:t>Try to minimize the number of ‘PUCCH formats’</w:t>
      </w:r>
    </w:p>
    <w:sectPr w:rsidR="003A79BD" w:rsidRPr="003A79BD"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0B17BD"/>
    <w:multiLevelType w:val="hybridMultilevel"/>
    <w:tmpl w:val="FD32F99E"/>
    <w:lvl w:ilvl="0" w:tplc="F4D068F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D1C40"/>
    <w:multiLevelType w:val="hybridMultilevel"/>
    <w:tmpl w:val="E556B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DD05D2"/>
    <w:multiLevelType w:val="hybridMultilevel"/>
    <w:tmpl w:val="F9143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45612"/>
    <w:multiLevelType w:val="hybridMultilevel"/>
    <w:tmpl w:val="8F8A0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B1721"/>
    <w:multiLevelType w:val="hybridMultilevel"/>
    <w:tmpl w:val="F676A046"/>
    <w:lvl w:ilvl="0" w:tplc="1C540EBA">
      <w:start w:val="1"/>
      <w:numFmt w:val="bullet"/>
      <w:lvlText w:val="•"/>
      <w:lvlJc w:val="left"/>
      <w:pPr>
        <w:tabs>
          <w:tab w:val="num" w:pos="1080"/>
        </w:tabs>
        <w:ind w:left="1080" w:hanging="360"/>
      </w:pPr>
      <w:rPr>
        <w:rFonts w:ascii="Arial" w:hAnsi="Arial" w:hint="default"/>
      </w:rPr>
    </w:lvl>
    <w:lvl w:ilvl="1" w:tplc="420089C2">
      <w:start w:val="2283"/>
      <w:numFmt w:val="bullet"/>
      <w:lvlText w:val="–"/>
      <w:lvlJc w:val="left"/>
      <w:pPr>
        <w:tabs>
          <w:tab w:val="num" w:pos="1800"/>
        </w:tabs>
        <w:ind w:left="1800" w:hanging="360"/>
      </w:pPr>
      <w:rPr>
        <w:rFonts w:ascii="Arial" w:hAnsi="Arial" w:hint="default"/>
      </w:rPr>
    </w:lvl>
    <w:lvl w:ilvl="2" w:tplc="7CEA9CD4">
      <w:start w:val="2283"/>
      <w:numFmt w:val="bullet"/>
      <w:lvlText w:val="•"/>
      <w:lvlJc w:val="left"/>
      <w:pPr>
        <w:tabs>
          <w:tab w:val="num" w:pos="2520"/>
        </w:tabs>
        <w:ind w:left="2520" w:hanging="360"/>
      </w:pPr>
      <w:rPr>
        <w:rFonts w:ascii="Arial" w:hAnsi="Arial" w:hint="default"/>
      </w:rPr>
    </w:lvl>
    <w:lvl w:ilvl="3" w:tplc="0A7A6DF8">
      <w:start w:val="1"/>
      <w:numFmt w:val="bullet"/>
      <w:lvlText w:val="•"/>
      <w:lvlJc w:val="left"/>
      <w:pPr>
        <w:tabs>
          <w:tab w:val="num" w:pos="3240"/>
        </w:tabs>
        <w:ind w:left="3240" w:hanging="360"/>
      </w:pPr>
      <w:rPr>
        <w:rFonts w:ascii="Arial" w:hAnsi="Arial" w:hint="default"/>
      </w:rPr>
    </w:lvl>
    <w:lvl w:ilvl="4" w:tplc="3F004DE2" w:tentative="1">
      <w:start w:val="1"/>
      <w:numFmt w:val="bullet"/>
      <w:lvlText w:val="•"/>
      <w:lvlJc w:val="left"/>
      <w:pPr>
        <w:tabs>
          <w:tab w:val="num" w:pos="3960"/>
        </w:tabs>
        <w:ind w:left="3960" w:hanging="360"/>
      </w:pPr>
      <w:rPr>
        <w:rFonts w:ascii="Arial" w:hAnsi="Arial" w:hint="default"/>
      </w:rPr>
    </w:lvl>
    <w:lvl w:ilvl="5" w:tplc="3FA2755C" w:tentative="1">
      <w:start w:val="1"/>
      <w:numFmt w:val="bullet"/>
      <w:lvlText w:val="•"/>
      <w:lvlJc w:val="left"/>
      <w:pPr>
        <w:tabs>
          <w:tab w:val="num" w:pos="4680"/>
        </w:tabs>
        <w:ind w:left="4680" w:hanging="360"/>
      </w:pPr>
      <w:rPr>
        <w:rFonts w:ascii="Arial" w:hAnsi="Arial" w:hint="default"/>
      </w:rPr>
    </w:lvl>
    <w:lvl w:ilvl="6" w:tplc="AD226188" w:tentative="1">
      <w:start w:val="1"/>
      <w:numFmt w:val="bullet"/>
      <w:lvlText w:val="•"/>
      <w:lvlJc w:val="left"/>
      <w:pPr>
        <w:tabs>
          <w:tab w:val="num" w:pos="5400"/>
        </w:tabs>
        <w:ind w:left="5400" w:hanging="360"/>
      </w:pPr>
      <w:rPr>
        <w:rFonts w:ascii="Arial" w:hAnsi="Arial" w:hint="default"/>
      </w:rPr>
    </w:lvl>
    <w:lvl w:ilvl="7" w:tplc="3DD8D60A" w:tentative="1">
      <w:start w:val="1"/>
      <w:numFmt w:val="bullet"/>
      <w:lvlText w:val="•"/>
      <w:lvlJc w:val="left"/>
      <w:pPr>
        <w:tabs>
          <w:tab w:val="num" w:pos="6120"/>
        </w:tabs>
        <w:ind w:left="6120" w:hanging="360"/>
      </w:pPr>
      <w:rPr>
        <w:rFonts w:ascii="Arial" w:hAnsi="Arial" w:hint="default"/>
      </w:rPr>
    </w:lvl>
    <w:lvl w:ilvl="8" w:tplc="F77C0914"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0"/>
  </w:num>
  <w:num w:numId="4">
    <w:abstractNumId w:val="27"/>
  </w:num>
  <w:num w:numId="5">
    <w:abstractNumId w:val="24"/>
  </w:num>
  <w:num w:numId="6">
    <w:abstractNumId w:val="21"/>
  </w:num>
  <w:num w:numId="7">
    <w:abstractNumId w:val="26"/>
  </w:num>
  <w:num w:numId="8">
    <w:abstractNumId w:val="25"/>
  </w:num>
  <w:num w:numId="9">
    <w:abstractNumId w:val="7"/>
  </w:num>
  <w:num w:numId="10">
    <w:abstractNumId w:val="2"/>
  </w:num>
  <w:num w:numId="11">
    <w:abstractNumId w:val="17"/>
  </w:num>
  <w:num w:numId="12">
    <w:abstractNumId w:val="28"/>
  </w:num>
  <w:num w:numId="13">
    <w:abstractNumId w:val="1"/>
  </w:num>
  <w:num w:numId="14">
    <w:abstractNumId w:val="3"/>
  </w:num>
  <w:num w:numId="15">
    <w:abstractNumId w:val="12"/>
  </w:num>
  <w:num w:numId="16">
    <w:abstractNumId w:val="4"/>
  </w:num>
  <w:num w:numId="17">
    <w:abstractNumId w:val="27"/>
  </w:num>
  <w:num w:numId="18">
    <w:abstractNumId w:val="16"/>
  </w:num>
  <w:num w:numId="19">
    <w:abstractNumId w:val="22"/>
  </w:num>
  <w:num w:numId="20">
    <w:abstractNumId w:val="6"/>
  </w:num>
  <w:num w:numId="21">
    <w:abstractNumId w:val="5"/>
  </w:num>
  <w:num w:numId="22">
    <w:abstractNumId w:val="23"/>
  </w:num>
  <w:num w:numId="23">
    <w:abstractNumId w:val="10"/>
  </w:num>
  <w:num w:numId="24">
    <w:abstractNumId w:val="9"/>
  </w:num>
  <w:num w:numId="25">
    <w:abstractNumId w:val="14"/>
  </w:num>
  <w:num w:numId="26">
    <w:abstractNumId w:val="20"/>
  </w:num>
  <w:num w:numId="27">
    <w:abstractNumId w:val="19"/>
  </w:num>
  <w:num w:numId="28">
    <w:abstractNumId w:val="18"/>
  </w:num>
  <w:num w:numId="29">
    <w:abstractNumId w:val="13"/>
  </w:num>
  <w:num w:numId="30">
    <w:abstractNumId w:val="8"/>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36DC0"/>
    <w:rsid w:val="00060F67"/>
    <w:rsid w:val="000F36DB"/>
    <w:rsid w:val="00106ABF"/>
    <w:rsid w:val="00115E69"/>
    <w:rsid w:val="001B243C"/>
    <w:rsid w:val="001F0CAF"/>
    <w:rsid w:val="00213303"/>
    <w:rsid w:val="0022072F"/>
    <w:rsid w:val="00230310"/>
    <w:rsid w:val="00247FAB"/>
    <w:rsid w:val="0028065B"/>
    <w:rsid w:val="00286B6D"/>
    <w:rsid w:val="002E444B"/>
    <w:rsid w:val="0034475B"/>
    <w:rsid w:val="003A79BD"/>
    <w:rsid w:val="00401FC3"/>
    <w:rsid w:val="00434CD6"/>
    <w:rsid w:val="0048093F"/>
    <w:rsid w:val="0049799A"/>
    <w:rsid w:val="004B1C8B"/>
    <w:rsid w:val="0052140E"/>
    <w:rsid w:val="00546EB1"/>
    <w:rsid w:val="005514B5"/>
    <w:rsid w:val="005838EA"/>
    <w:rsid w:val="0062396A"/>
    <w:rsid w:val="00627565"/>
    <w:rsid w:val="0068741C"/>
    <w:rsid w:val="006A286A"/>
    <w:rsid w:val="006B1453"/>
    <w:rsid w:val="006B481E"/>
    <w:rsid w:val="006D0BDF"/>
    <w:rsid w:val="006D4A4B"/>
    <w:rsid w:val="006D6917"/>
    <w:rsid w:val="007C7533"/>
    <w:rsid w:val="0081418C"/>
    <w:rsid w:val="00845022"/>
    <w:rsid w:val="008A0342"/>
    <w:rsid w:val="008D5332"/>
    <w:rsid w:val="00916E30"/>
    <w:rsid w:val="00924E96"/>
    <w:rsid w:val="00942F98"/>
    <w:rsid w:val="0099627A"/>
    <w:rsid w:val="009A0611"/>
    <w:rsid w:val="009E46CD"/>
    <w:rsid w:val="009F2364"/>
    <w:rsid w:val="00A057EA"/>
    <w:rsid w:val="00A47B48"/>
    <w:rsid w:val="00AC1F7D"/>
    <w:rsid w:val="00B03ED8"/>
    <w:rsid w:val="00B368D9"/>
    <w:rsid w:val="00BA4CC0"/>
    <w:rsid w:val="00BB2430"/>
    <w:rsid w:val="00BB7B54"/>
    <w:rsid w:val="00BC0FFC"/>
    <w:rsid w:val="00BE4063"/>
    <w:rsid w:val="00C1560A"/>
    <w:rsid w:val="00C21F5F"/>
    <w:rsid w:val="00C62894"/>
    <w:rsid w:val="00C8496C"/>
    <w:rsid w:val="00CA5E5D"/>
    <w:rsid w:val="00CB5A40"/>
    <w:rsid w:val="00CC1CA7"/>
    <w:rsid w:val="00CC260C"/>
    <w:rsid w:val="00CE6CB0"/>
    <w:rsid w:val="00D03072"/>
    <w:rsid w:val="00D03E47"/>
    <w:rsid w:val="00D2105C"/>
    <w:rsid w:val="00D43915"/>
    <w:rsid w:val="00D577BB"/>
    <w:rsid w:val="00D71065"/>
    <w:rsid w:val="00D84D5E"/>
    <w:rsid w:val="00D86DF3"/>
    <w:rsid w:val="00DA7D33"/>
    <w:rsid w:val="00DB6F36"/>
    <w:rsid w:val="00DD11CB"/>
    <w:rsid w:val="00DE0D8A"/>
    <w:rsid w:val="00DE1BAA"/>
    <w:rsid w:val="00E10C1F"/>
    <w:rsid w:val="00E20E32"/>
    <w:rsid w:val="00E31F68"/>
    <w:rsid w:val="00EB26FB"/>
    <w:rsid w:val="00EC06DD"/>
    <w:rsid w:val="00ED248E"/>
    <w:rsid w:val="00F15238"/>
    <w:rsid w:val="00F346B4"/>
    <w:rsid w:val="00F40C7B"/>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F6658-483F-46E1-BE80-C78074456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3</cp:revision>
  <dcterms:created xsi:type="dcterms:W3CDTF">2016-11-04T12:47:00Z</dcterms:created>
  <dcterms:modified xsi:type="dcterms:W3CDTF">2016-11-04T15:11:00Z</dcterms:modified>
</cp:coreProperties>
</file>